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39B03D11"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036ABC">
        <w:rPr>
          <w:rFonts w:asciiTheme="minorHAnsi" w:hAnsiTheme="minorHAnsi" w:cstheme="minorHAnsi"/>
          <w:b/>
          <w:bCs/>
          <w:sz w:val="24"/>
          <w:szCs w:val="24"/>
        </w:rPr>
        <w:t xml:space="preserve">3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180C9E"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180C9E"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180C9E"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180C9E"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180C9E"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180C9E"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180C9E"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180C9E"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180C9E"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180C9E"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180C9E"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180C9E"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180C9E"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180C9E"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180C9E"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180C9E"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180C9E"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180C9E"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180C9E"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180C9E"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180C9E"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180C9E"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180C9E"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180C9E"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180C9E"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180C9E"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180C9E"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Une fois que les annexes mentionnées au point a)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2F10AE60" w:rsidR="006F5157" w:rsidRPr="00452029" w:rsidRDefault="006D489D" w:rsidP="00452029">
      <w:pPr>
        <w:pStyle w:val="Paragraphedeliste"/>
        <w:numPr>
          <w:ilvl w:val="0"/>
          <w:numId w:val="12"/>
        </w:numPr>
        <w:spacing w:after="0"/>
        <w:jc w:val="both"/>
        <w:rPr>
          <w:rFonts w:cstheme="minorHAnsi"/>
          <w:sz w:val="20"/>
          <w:szCs w:val="20"/>
        </w:rPr>
      </w:pPr>
      <w:r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w:t>
      </w:r>
      <w:r w:rsidR="006F5157" w:rsidRPr="00036ABC">
        <w:rPr>
          <w:rFonts w:cstheme="minorHAnsi"/>
          <w:sz w:val="20"/>
          <w:szCs w:val="20"/>
        </w:rPr>
        <w:t xml:space="preserve">moins </w:t>
      </w:r>
      <w:r w:rsidR="003960FC" w:rsidRPr="00036ABC">
        <w:rPr>
          <w:rFonts w:cstheme="minorHAnsi"/>
          <w:sz w:val="20"/>
          <w:szCs w:val="20"/>
        </w:rPr>
        <w:t>deux</w:t>
      </w:r>
      <w:r w:rsidR="008E41AC" w:rsidRPr="00036ABC">
        <w:rPr>
          <w:rFonts w:cstheme="minorHAnsi"/>
          <w:sz w:val="20"/>
          <w:szCs w:val="20"/>
        </w:rPr>
        <w:t xml:space="preserve"> </w:t>
      </w:r>
      <w:r w:rsidRPr="00036ABC">
        <w:rPr>
          <w:rFonts w:cstheme="minorHAnsi"/>
          <w:sz w:val="20"/>
          <w:szCs w:val="20"/>
        </w:rPr>
        <w:t>mois</w:t>
      </w:r>
      <w:r w:rsidR="006F5157" w:rsidRPr="00036ABC">
        <w:rPr>
          <w:rFonts w:cstheme="minorHAnsi"/>
          <w:sz w:val="20"/>
          <w:szCs w:val="20"/>
        </w:rPr>
        <w:t xml:space="preserve"> avan</w:t>
      </w:r>
      <w:r w:rsidR="006F5157" w:rsidRPr="00452029">
        <w:rPr>
          <w:rFonts w:cstheme="minorHAnsi"/>
          <w:sz w:val="20"/>
          <w:szCs w:val="20"/>
        </w:rPr>
        <w:t>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il a reçue de la part de la personne concernée. Il ne donne pas lui-même suite à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06972336" w14:textId="77777777" w:rsidR="00036ABC" w:rsidRDefault="00036ABC" w:rsidP="00036ABC">
      <w:pPr>
        <w:pStyle w:val="Paragraphedeliste"/>
        <w:jc w:val="both"/>
        <w:rPr>
          <w:rFonts w:cstheme="minorHAnsi"/>
          <w:sz w:val="20"/>
          <w:szCs w:val="20"/>
        </w:rPr>
      </w:pPr>
      <w:r w:rsidRPr="00036ABC">
        <w:rPr>
          <w:rFonts w:cstheme="minorHAnsi"/>
          <w:sz w:val="20"/>
          <w:szCs w:val="20"/>
        </w:rPr>
        <w:t>Benabdelouhab, Alison</w:t>
      </w:r>
    </w:p>
    <w:p w14:paraId="20FE80FB" w14:textId="6F128EEE" w:rsidR="00036ABC" w:rsidRPr="00036ABC" w:rsidRDefault="00036ABC" w:rsidP="00036ABC">
      <w:pPr>
        <w:pStyle w:val="Paragraphedeliste"/>
        <w:jc w:val="both"/>
        <w:rPr>
          <w:rFonts w:cstheme="minorHAnsi"/>
          <w:sz w:val="20"/>
          <w:szCs w:val="20"/>
        </w:rPr>
      </w:pPr>
      <w:hyperlink r:id="rId8" w:history="1">
        <w:r w:rsidRPr="00756ED2">
          <w:rPr>
            <w:rStyle w:val="Lienhypertexte"/>
          </w:rPr>
          <w:t>alison.Benabdelouhab@caissedesdepots.fr</w:t>
        </w:r>
      </w:hyperlink>
      <w:r>
        <w:t xml:space="preserve"> </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180C9E" w:rsidP="000272D9">
      <w:pPr>
        <w:pStyle w:val="Paragraphedeliste"/>
        <w:rPr>
          <w:rFonts w:cstheme="minorHAnsi"/>
          <w:sz w:val="20"/>
          <w:szCs w:val="20"/>
        </w:rPr>
      </w:pPr>
      <w:hyperlink r:id="rId9"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(co-)</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commentRangeStart w:id="29"/>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commentRangeEnd w:id="29"/>
      <w:r w:rsidR="00651728">
        <w:rPr>
          <w:rStyle w:val="Marquedecommentaire"/>
          <w:rFonts w:asciiTheme="minorHAnsi" w:eastAsiaTheme="minorHAnsi" w:hAnsiTheme="minorHAnsi" w:cstheme="minorBidi"/>
          <w:color w:val="auto"/>
        </w:rPr>
        <w:commentReference w:id="29"/>
      </w:r>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6A7785" w:rsidRPr="004C310E">
        <w:rPr>
          <w:rFonts w:cstheme="minorHAnsi"/>
          <w:bCs/>
          <w:sz w:val="20"/>
          <w:szCs w:val="20"/>
        </w:rPr>
        <w:t>[</w:t>
      </w:r>
      <w:r w:rsidRPr="004C310E">
        <w:rPr>
          <w:rFonts w:cstheme="minorHAnsi"/>
          <w:bCs/>
          <w:sz w:val="20"/>
          <w:szCs w:val="20"/>
          <w:highlight w:val="yellow"/>
        </w:rPr>
        <w:t>….</w:t>
      </w:r>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75DCADDD" w14:textId="77777777" w:rsidR="00A83124" w:rsidRPr="00D9180D" w:rsidRDefault="00A83124" w:rsidP="00A83124">
            <w:pPr>
              <w:spacing w:line="259" w:lineRule="auto"/>
              <w:jc w:val="both"/>
              <w:rPr>
                <w:rFonts w:cstheme="minorHAnsi"/>
                <w:b/>
                <w:sz w:val="20"/>
                <w:szCs w:val="20"/>
                <w:u w:val="single"/>
              </w:rPr>
            </w:pPr>
            <w:r w:rsidRPr="00D9180D">
              <w:rPr>
                <w:rFonts w:cstheme="minorHAnsi"/>
                <w:b/>
                <w:sz w:val="20"/>
                <w:szCs w:val="20"/>
                <w:highlight w:val="yellow"/>
                <w:u w:val="single"/>
              </w:rPr>
              <w:t>[compléter]</w:t>
            </w:r>
          </w:p>
          <w:p w14:paraId="7B355365" w14:textId="75B6FF65" w:rsidR="00DD240C" w:rsidRPr="009D79AF" w:rsidRDefault="00A83124" w:rsidP="00A83124">
            <w:pPr>
              <w:jc w:val="both"/>
              <w:rPr>
                <w:rFonts w:cstheme="minorHAnsi"/>
                <w:i/>
                <w:iCs/>
                <w:color w:val="000000" w:themeColor="text1"/>
                <w:sz w:val="18"/>
                <w:szCs w:val="18"/>
              </w:rPr>
            </w:pPr>
            <w:r>
              <w:rPr>
                <w:rFonts w:cstheme="minorHAnsi"/>
                <w:i/>
                <w:iCs/>
                <w:sz w:val="18"/>
                <w:szCs w:val="18"/>
              </w:rPr>
              <w:t xml:space="preserve">Décrire en des mots simples l’objet du traitement de données réalisé par le sous-traitant/prestataire pour le compte du </w:t>
            </w:r>
            <w:r w:rsidR="0004057C">
              <w:rPr>
                <w:rFonts w:cstheme="minorHAnsi"/>
                <w:i/>
                <w:iCs/>
                <w:sz w:val="18"/>
                <w:szCs w:val="18"/>
              </w:rPr>
              <w:t>responsable de traitement</w:t>
            </w:r>
            <w:r>
              <w:rPr>
                <w:rFonts w:cstheme="minorHAnsi"/>
                <w:i/>
                <w:iCs/>
                <w:sz w:val="18"/>
                <w:szCs w:val="18"/>
              </w:rPr>
              <w:t xml:space="preserve">. Cet objet doit </w:t>
            </w:r>
            <w:r w:rsidR="00B57500">
              <w:rPr>
                <w:rFonts w:cstheme="minorHAnsi"/>
                <w:i/>
                <w:iCs/>
                <w:sz w:val="18"/>
                <w:szCs w:val="18"/>
              </w:rPr>
              <w:t>être cohérent avec</w:t>
            </w:r>
            <w:r>
              <w:rPr>
                <w:rFonts w:cstheme="minorHAnsi"/>
                <w:i/>
                <w:iCs/>
                <w:sz w:val="18"/>
                <w:szCs w:val="18"/>
              </w:rPr>
              <w:t xml:space="preserve"> la finalité définie ci-dessous</w:t>
            </w:r>
            <w:r w:rsidR="0004057C">
              <w:rPr>
                <w:rFonts w:cstheme="minorHAnsi"/>
                <w:i/>
                <w:iCs/>
                <w:sz w:val="18"/>
                <w:szCs w:val="18"/>
              </w:rPr>
              <w:t xml:space="preserve">. </w:t>
            </w:r>
          </w:p>
          <w:p w14:paraId="2CBF8AC3" w14:textId="77777777" w:rsidR="00B57500" w:rsidRPr="009D79AF" w:rsidRDefault="00B57500" w:rsidP="00A83124">
            <w:pPr>
              <w:jc w:val="both"/>
              <w:rPr>
                <w:rFonts w:cstheme="minorHAnsi"/>
                <w:i/>
                <w:iCs/>
                <w:color w:val="000000" w:themeColor="text1"/>
                <w:sz w:val="18"/>
                <w:szCs w:val="18"/>
              </w:rPr>
            </w:pPr>
          </w:p>
          <w:p w14:paraId="1CAD98C2" w14:textId="1B797AD9" w:rsidR="00A83124" w:rsidRPr="00D92205" w:rsidRDefault="00B57500" w:rsidP="00A83124">
            <w:pPr>
              <w:jc w:val="both"/>
              <w:rPr>
                <w:rFonts w:cstheme="minorHAnsi"/>
                <w:b/>
                <w:color w:val="FF0000"/>
                <w:sz w:val="20"/>
                <w:szCs w:val="20"/>
                <w:highlight w:val="yellow"/>
                <w:u w:val="single"/>
              </w:rPr>
            </w:pPr>
            <w:r w:rsidRPr="009D79AF">
              <w:rPr>
                <w:rFonts w:cstheme="minorHAnsi"/>
                <w:i/>
                <w:iCs/>
                <w:color w:val="000000" w:themeColor="text1"/>
                <w:sz w:val="18"/>
                <w:szCs w:val="18"/>
              </w:rPr>
              <w:t>Ex</w:t>
            </w:r>
            <w:r w:rsidR="00D52C29" w:rsidRPr="009D79AF">
              <w:rPr>
                <w:rFonts w:cstheme="minorHAnsi"/>
                <w:i/>
                <w:iCs/>
                <w:color w:val="000000" w:themeColor="text1"/>
                <w:sz w:val="18"/>
                <w:szCs w:val="18"/>
              </w:rPr>
              <w:t>.</w:t>
            </w:r>
            <w:r w:rsidR="0026784E" w:rsidRPr="009D79AF">
              <w:rPr>
                <w:rFonts w:cstheme="minorHAnsi"/>
                <w:i/>
                <w:iCs/>
                <w:color w:val="000000" w:themeColor="text1"/>
                <w:sz w:val="18"/>
                <w:szCs w:val="18"/>
              </w:rPr>
              <w:t> </w:t>
            </w:r>
            <w:r w:rsidRPr="009D79AF">
              <w:rPr>
                <w:rFonts w:cstheme="minorHAnsi"/>
                <w:i/>
                <w:iCs/>
                <w:color w:val="000000" w:themeColor="text1"/>
                <w:sz w:val="18"/>
                <w:szCs w:val="18"/>
              </w:rPr>
              <w:t xml:space="preserve">: </w:t>
            </w:r>
            <w:r w:rsidR="007F4761" w:rsidRPr="009D79AF">
              <w:rPr>
                <w:rFonts w:cstheme="minorHAnsi"/>
                <w:i/>
                <w:iCs/>
                <w:color w:val="000000" w:themeColor="text1"/>
                <w:sz w:val="18"/>
                <w:szCs w:val="18"/>
              </w:rPr>
              <w:t>Envoyer des e-mails de prospection commerciale, tenir le registre des adhérents</w:t>
            </w:r>
            <w:r w:rsidR="003C0F80" w:rsidRPr="009D79AF">
              <w:rPr>
                <w:rFonts w:cstheme="minorHAnsi"/>
                <w:i/>
                <w:iCs/>
                <w:color w:val="000000" w:themeColor="text1"/>
                <w:sz w:val="18"/>
                <w:szCs w:val="18"/>
              </w:rPr>
              <w:t>, …</w:t>
            </w: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7025776B" w14:textId="77777777" w:rsidR="00103476"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512D51E7" w14:textId="60F9544F" w:rsidR="00DD240C" w:rsidRDefault="00103476" w:rsidP="00E067FE">
            <w:pPr>
              <w:jc w:val="both"/>
              <w:rPr>
                <w:rFonts w:cstheme="minorHAnsi"/>
                <w:i/>
                <w:iCs/>
                <w:sz w:val="18"/>
                <w:szCs w:val="18"/>
              </w:rPr>
            </w:pPr>
            <w:r w:rsidRPr="00452029">
              <w:rPr>
                <w:rFonts w:cstheme="minorHAnsi"/>
                <w:i/>
                <w:iCs/>
                <w:sz w:val="18"/>
                <w:szCs w:val="18"/>
              </w:rPr>
              <w:t>Rattacher la prestation à une finalité</w:t>
            </w:r>
            <w:r w:rsidR="001C0C0E" w:rsidRPr="00452029">
              <w:rPr>
                <w:rFonts w:cstheme="minorHAnsi"/>
                <w:i/>
                <w:iCs/>
                <w:sz w:val="18"/>
                <w:szCs w:val="18"/>
              </w:rPr>
              <w:t xml:space="preserve"> (= </w:t>
            </w:r>
            <w:r w:rsidRPr="00452029">
              <w:rPr>
                <w:rFonts w:cstheme="minorHAnsi"/>
                <w:i/>
                <w:iCs/>
                <w:sz w:val="18"/>
                <w:szCs w:val="18"/>
              </w:rPr>
              <w:t>à un traitement</w:t>
            </w:r>
            <w:r w:rsidR="001C0C0E" w:rsidRPr="00452029">
              <w:rPr>
                <w:rFonts w:cstheme="minorHAnsi"/>
                <w:i/>
                <w:iCs/>
                <w:sz w:val="18"/>
                <w:szCs w:val="18"/>
              </w:rPr>
              <w:t>)</w:t>
            </w:r>
            <w:r w:rsidRPr="00452029">
              <w:rPr>
                <w:rFonts w:cstheme="minorHAnsi"/>
                <w:i/>
                <w:iCs/>
                <w:sz w:val="18"/>
                <w:szCs w:val="18"/>
              </w:rPr>
              <w:t xml:space="preserve"> identifié </w:t>
            </w:r>
            <w:r w:rsidR="00862FF0">
              <w:rPr>
                <w:rFonts w:cstheme="minorHAnsi"/>
                <w:i/>
                <w:iCs/>
                <w:sz w:val="18"/>
                <w:szCs w:val="18"/>
              </w:rPr>
              <w:t>au</w:t>
            </w:r>
            <w:r w:rsidRPr="00452029">
              <w:rPr>
                <w:rFonts w:cstheme="minorHAnsi"/>
                <w:i/>
                <w:iCs/>
                <w:sz w:val="18"/>
                <w:szCs w:val="18"/>
              </w:rPr>
              <w:t xml:space="preserve"> registre </w:t>
            </w:r>
            <w:r w:rsidR="001C0C0E" w:rsidRPr="00452029">
              <w:rPr>
                <w:rFonts w:cstheme="minorHAnsi"/>
                <w:i/>
                <w:iCs/>
                <w:sz w:val="18"/>
                <w:szCs w:val="18"/>
              </w:rPr>
              <w:t>des traitements de la CDC tenu par DPO</w:t>
            </w:r>
            <w:r w:rsidRPr="00452029">
              <w:rPr>
                <w:rFonts w:cstheme="minorHAnsi"/>
                <w:i/>
                <w:iCs/>
                <w:sz w:val="18"/>
                <w:szCs w:val="18"/>
              </w:rPr>
              <w:t>.</w:t>
            </w:r>
            <w:r w:rsidR="001C0C0E" w:rsidRPr="00452029">
              <w:rPr>
                <w:rFonts w:cstheme="minorHAnsi"/>
                <w:i/>
                <w:iCs/>
                <w:sz w:val="18"/>
                <w:szCs w:val="18"/>
              </w:rPr>
              <w:t xml:space="preserve"> Compléter si besoin avec la sous-finalité concernée, si le traitement est découpé en sous-finalités et que la sous-traitance ne porte que sur cette sous-finalité</w:t>
            </w:r>
            <w:r w:rsidR="00153E55">
              <w:rPr>
                <w:rFonts w:cstheme="minorHAnsi"/>
                <w:i/>
                <w:iCs/>
                <w:sz w:val="18"/>
                <w:szCs w:val="18"/>
              </w:rPr>
              <w:t>, ou si la finalité macro n’est pas assez explicite</w:t>
            </w:r>
            <w:r w:rsidR="001C0C0E" w:rsidRPr="00452029">
              <w:rPr>
                <w:rFonts w:cstheme="minorHAnsi"/>
                <w:i/>
                <w:iCs/>
                <w:sz w:val="18"/>
                <w:szCs w:val="18"/>
              </w:rPr>
              <w:t>. Dans tous les cas, reprendre une (sous-)finalité inscrite au registre de la CDC</w:t>
            </w:r>
            <w:r w:rsidR="0026784E">
              <w:rPr>
                <w:rFonts w:cstheme="minorHAnsi"/>
                <w:i/>
                <w:iCs/>
                <w:sz w:val="18"/>
                <w:szCs w:val="18"/>
              </w:rPr>
              <w:t> </w:t>
            </w:r>
            <w:r w:rsidR="001C0C0E" w:rsidRPr="00452029">
              <w:rPr>
                <w:rFonts w:cstheme="minorHAnsi"/>
                <w:i/>
                <w:iCs/>
                <w:sz w:val="18"/>
                <w:szCs w:val="18"/>
              </w:rPr>
              <w:t xml:space="preserve">; à valider avec votre RDCP. </w:t>
            </w:r>
          </w:p>
          <w:p w14:paraId="588DA41D" w14:textId="77777777" w:rsidR="00D52C29" w:rsidRPr="00452029" w:rsidRDefault="00D52C29" w:rsidP="00E067FE">
            <w:pPr>
              <w:jc w:val="both"/>
              <w:rPr>
                <w:rFonts w:cstheme="minorHAnsi"/>
                <w:i/>
                <w:iCs/>
                <w:sz w:val="18"/>
                <w:szCs w:val="18"/>
              </w:rPr>
            </w:pPr>
          </w:p>
          <w:p w14:paraId="68634904" w14:textId="18D45BD7" w:rsidR="00103476" w:rsidRPr="00452029" w:rsidRDefault="00103476" w:rsidP="00452029">
            <w:pPr>
              <w:jc w:val="both"/>
              <w:rPr>
                <w:rFonts w:cstheme="minorHAnsi"/>
                <w:sz w:val="20"/>
                <w:szCs w:val="20"/>
                <w:u w:val="single"/>
              </w:rPr>
            </w:pPr>
            <w:r w:rsidRPr="00452029">
              <w:rPr>
                <w:rFonts w:cstheme="minorHAnsi"/>
                <w:i/>
                <w:iCs/>
                <w:sz w:val="18"/>
                <w:szCs w:val="18"/>
              </w:rPr>
              <w:t>Ex</w:t>
            </w:r>
            <w:r w:rsidR="00D52C29">
              <w:rPr>
                <w:rFonts w:cstheme="minorHAnsi"/>
                <w:i/>
                <w:iCs/>
                <w:sz w:val="18"/>
                <w:szCs w:val="18"/>
              </w:rPr>
              <w:t>.</w:t>
            </w:r>
            <w:r w:rsidR="0026784E">
              <w:rPr>
                <w:rFonts w:cstheme="minorHAnsi"/>
                <w:i/>
                <w:iCs/>
                <w:sz w:val="18"/>
                <w:szCs w:val="18"/>
              </w:rPr>
              <w:t> </w:t>
            </w:r>
            <w:r w:rsidRPr="00452029">
              <w:rPr>
                <w:rFonts w:cstheme="minorHAnsi"/>
                <w:i/>
                <w:iCs/>
                <w:sz w:val="18"/>
                <w:szCs w:val="18"/>
              </w:rPr>
              <w:t>: « Gérer les retraites »</w:t>
            </w:r>
            <w:r w:rsidR="00113CB7">
              <w:rPr>
                <w:rFonts w:cstheme="minorHAnsi"/>
                <w:i/>
                <w:iCs/>
                <w:sz w:val="18"/>
                <w:szCs w:val="18"/>
              </w:rPr>
              <w:t>,</w:t>
            </w:r>
            <w:r w:rsidRPr="00452029">
              <w:rPr>
                <w:rFonts w:cstheme="minorHAnsi"/>
                <w:i/>
                <w:iCs/>
                <w:sz w:val="18"/>
                <w:szCs w:val="18"/>
              </w:rPr>
              <w:t xml:space="preserve"> « Assurer les prestations bancaires »</w:t>
            </w:r>
            <w:r w:rsidR="00113CB7">
              <w:rPr>
                <w:rFonts w:cstheme="minorHAnsi"/>
                <w:i/>
                <w:iCs/>
                <w:sz w:val="18"/>
                <w:szCs w:val="18"/>
              </w:rPr>
              <w:t xml:space="preserve"> ou « Gérer les saisies »</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291D7BCF" w14:textId="7126D384" w:rsidR="00DD240C"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56665DC4" w14:textId="72DE4D3B" w:rsidR="00103476" w:rsidRPr="009D79AF" w:rsidRDefault="00103476" w:rsidP="00452029">
            <w:pPr>
              <w:spacing w:line="259" w:lineRule="auto"/>
              <w:jc w:val="both"/>
              <w:rPr>
                <w:rFonts w:cstheme="minorHAnsi"/>
                <w:bCs/>
                <w:i/>
                <w:sz w:val="18"/>
                <w:szCs w:val="18"/>
              </w:rPr>
            </w:pPr>
            <w:r w:rsidRPr="00452029">
              <w:rPr>
                <w:rFonts w:cstheme="minorHAnsi"/>
                <w:bCs/>
                <w:i/>
                <w:iCs/>
                <w:sz w:val="18"/>
                <w:szCs w:val="18"/>
              </w:rPr>
              <w:t>Ex</w:t>
            </w:r>
            <w:r w:rsidR="00461C79">
              <w:rPr>
                <w:rFonts w:cstheme="minorHAnsi"/>
                <w:bCs/>
                <w:i/>
                <w:iCs/>
                <w:sz w:val="18"/>
                <w:szCs w:val="18"/>
              </w:rPr>
              <w:t>.</w:t>
            </w:r>
            <w:r w:rsidR="0026784E">
              <w:rPr>
                <w:rFonts w:cstheme="minorHAnsi"/>
                <w:bCs/>
                <w:i/>
                <w:iCs/>
                <w:sz w:val="18"/>
                <w:szCs w:val="18"/>
              </w:rPr>
              <w:t> </w:t>
            </w:r>
            <w:r w:rsidRPr="00452029">
              <w:rPr>
                <w:rFonts w:cstheme="minorHAnsi"/>
                <w:bCs/>
                <w:i/>
                <w:iCs/>
                <w:sz w:val="18"/>
                <w:szCs w:val="18"/>
              </w:rPr>
              <w:t>:</w:t>
            </w:r>
            <w:r w:rsidRPr="00452029">
              <w:rPr>
                <w:rFonts w:cstheme="minorHAnsi"/>
                <w:bCs/>
                <w:sz w:val="18"/>
                <w:szCs w:val="18"/>
              </w:rPr>
              <w:t xml:space="preserve"> </w:t>
            </w:r>
            <w:r w:rsidRPr="00452029">
              <w:rPr>
                <w:rFonts w:cstheme="minorHAnsi"/>
                <w:bCs/>
                <w:i/>
                <w:sz w:val="18"/>
                <w:szCs w:val="18"/>
              </w:rPr>
              <w:t>données d’identification des utilisateurs</w:t>
            </w:r>
            <w:r w:rsidR="00A710F9">
              <w:rPr>
                <w:rFonts w:cstheme="minorHAnsi"/>
                <w:bCs/>
                <w:i/>
                <w:sz w:val="18"/>
                <w:szCs w:val="18"/>
              </w:rPr>
              <w:t xml:space="preserve"> du service,</w:t>
            </w:r>
            <w:r w:rsidRPr="00452029">
              <w:rPr>
                <w:rFonts w:cstheme="minorHAnsi"/>
                <w:bCs/>
                <w:i/>
                <w:sz w:val="18"/>
                <w:szCs w:val="18"/>
              </w:rPr>
              <w:t xml:space="preserve"> </w:t>
            </w:r>
            <w:r w:rsidR="00A710F9">
              <w:rPr>
                <w:rFonts w:cstheme="minorHAnsi"/>
                <w:bCs/>
                <w:i/>
                <w:sz w:val="18"/>
                <w:szCs w:val="18"/>
              </w:rPr>
              <w:t xml:space="preserve">données </w:t>
            </w:r>
            <w:r w:rsidRPr="00452029">
              <w:rPr>
                <w:rFonts w:cstheme="minorHAnsi"/>
                <w:bCs/>
                <w:i/>
                <w:sz w:val="18"/>
                <w:szCs w:val="18"/>
              </w:rPr>
              <w:t xml:space="preserve">de connexion à l’outil, </w:t>
            </w:r>
            <w:r w:rsidR="00A710F9">
              <w:rPr>
                <w:rFonts w:cstheme="minorHAnsi"/>
                <w:bCs/>
                <w:i/>
                <w:sz w:val="18"/>
                <w:szCs w:val="18"/>
              </w:rPr>
              <w:t>do</w:t>
            </w:r>
            <w:r w:rsidRPr="00452029">
              <w:rPr>
                <w:rFonts w:cstheme="minorHAnsi"/>
                <w:bCs/>
                <w:i/>
                <w:sz w:val="18"/>
                <w:szCs w:val="18"/>
              </w:rPr>
              <w:t>nnées d’ordre économique et financier</w:t>
            </w:r>
            <w:r w:rsidR="00A710F9">
              <w:rPr>
                <w:rFonts w:cstheme="minorHAnsi"/>
                <w:bCs/>
                <w:i/>
                <w:sz w:val="18"/>
                <w:szCs w:val="18"/>
              </w:rPr>
              <w:t xml:space="preserve">, </w:t>
            </w:r>
            <w:r w:rsidRPr="00452029">
              <w:rPr>
                <w:rFonts w:cstheme="minorHAnsi"/>
                <w:bCs/>
                <w:i/>
                <w:sz w:val="18"/>
                <w:szCs w:val="18"/>
              </w:rPr>
              <w:t>NIR</w:t>
            </w:r>
            <w:r w:rsidR="00A12431">
              <w:rPr>
                <w:rFonts w:cstheme="minorHAnsi"/>
                <w:bCs/>
                <w:i/>
                <w:sz w:val="18"/>
                <w:szCs w:val="18"/>
              </w:rPr>
              <w:t>, …</w:t>
            </w:r>
            <w:r w:rsidRPr="00452029">
              <w:rPr>
                <w:rFonts w:cstheme="minorHAnsi"/>
                <w:bCs/>
                <w:sz w:val="18"/>
                <w:szCs w:val="18"/>
              </w:rPr>
              <w:t> </w:t>
            </w: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75B5F50A" w14:textId="77777777" w:rsidR="00103476"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608687F4" w14:textId="3F35F4D9" w:rsidR="00103476" w:rsidRPr="00452029" w:rsidRDefault="00103476" w:rsidP="00452029">
            <w:pPr>
              <w:jc w:val="both"/>
              <w:rPr>
                <w:rFonts w:cstheme="minorHAnsi"/>
                <w:sz w:val="20"/>
                <w:szCs w:val="20"/>
                <w:u w:val="single"/>
              </w:rPr>
            </w:pPr>
            <w:r w:rsidRPr="00452029">
              <w:rPr>
                <w:rFonts w:cstheme="minorHAnsi"/>
                <w:i/>
                <w:iCs/>
                <w:sz w:val="18"/>
                <w:szCs w:val="18"/>
              </w:rPr>
              <w:t>Ex</w:t>
            </w:r>
            <w:r w:rsidR="00461C7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les </w:t>
            </w:r>
            <w:r w:rsidR="00A710F9">
              <w:rPr>
                <w:rFonts w:cstheme="minorHAnsi"/>
                <w:i/>
                <w:iCs/>
                <w:sz w:val="18"/>
                <w:szCs w:val="18"/>
              </w:rPr>
              <w:t xml:space="preserve">collaborateurs </w:t>
            </w:r>
            <w:r w:rsidRPr="00452029">
              <w:rPr>
                <w:rFonts w:cstheme="minorHAnsi"/>
                <w:i/>
                <w:iCs/>
                <w:sz w:val="18"/>
                <w:szCs w:val="18"/>
              </w:rPr>
              <w:t xml:space="preserve">du </w:t>
            </w:r>
            <w:r w:rsidR="00DF317B">
              <w:rPr>
                <w:rFonts w:cstheme="minorHAnsi"/>
                <w:i/>
                <w:iCs/>
                <w:sz w:val="18"/>
                <w:szCs w:val="18"/>
              </w:rPr>
              <w:t>responsable</w:t>
            </w:r>
            <w:r w:rsidR="00997304" w:rsidRPr="00452029">
              <w:rPr>
                <w:rFonts w:cstheme="minorHAnsi"/>
                <w:i/>
                <w:iCs/>
                <w:sz w:val="18"/>
                <w:szCs w:val="18"/>
              </w:rPr>
              <w:t xml:space="preserve"> de traitement</w:t>
            </w:r>
            <w:r w:rsidR="00A710F9">
              <w:rPr>
                <w:rFonts w:cstheme="minorHAnsi"/>
                <w:i/>
                <w:iCs/>
                <w:sz w:val="18"/>
                <w:szCs w:val="18"/>
              </w:rPr>
              <w:t>,</w:t>
            </w:r>
            <w:r w:rsidRPr="00452029">
              <w:rPr>
                <w:rFonts w:cstheme="minorHAnsi"/>
                <w:i/>
                <w:iCs/>
                <w:sz w:val="18"/>
                <w:szCs w:val="18"/>
              </w:rPr>
              <w:t xml:space="preserve"> </w:t>
            </w:r>
            <w:r w:rsidR="00A710F9">
              <w:rPr>
                <w:rFonts w:cstheme="minorHAnsi"/>
                <w:i/>
                <w:iCs/>
                <w:sz w:val="18"/>
                <w:szCs w:val="18"/>
              </w:rPr>
              <w:t xml:space="preserve">les pensionnés ou bénéficiaires </w:t>
            </w:r>
            <w:r w:rsidRPr="00452029">
              <w:rPr>
                <w:rFonts w:cstheme="minorHAnsi"/>
                <w:i/>
                <w:iCs/>
                <w:sz w:val="18"/>
                <w:szCs w:val="18"/>
              </w:rPr>
              <w:t>du service</w:t>
            </w:r>
            <w:r w:rsidR="00A710F9">
              <w:rPr>
                <w:rFonts w:cstheme="minorHAnsi"/>
                <w:i/>
                <w:iCs/>
                <w:sz w:val="18"/>
                <w:szCs w:val="18"/>
              </w:rPr>
              <w:t xml:space="preserve"> ou de la prestation, les utilisateurs de l’outil</w:t>
            </w:r>
            <w:r w:rsidR="00A12431">
              <w:rPr>
                <w:rFonts w:cstheme="minorHAnsi"/>
                <w:i/>
                <w:iCs/>
                <w:sz w:val="18"/>
                <w:szCs w:val="18"/>
              </w:rPr>
              <w:t>, …</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57707BEF" w14:textId="030F63E5" w:rsidR="00103476"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17297804" w14:textId="7C9FDC34" w:rsidR="00DD240C" w:rsidRDefault="00A83124" w:rsidP="00E067FE">
            <w:pPr>
              <w:jc w:val="both"/>
              <w:rPr>
                <w:rFonts w:cstheme="minorHAnsi"/>
                <w:i/>
                <w:iCs/>
                <w:sz w:val="18"/>
                <w:szCs w:val="18"/>
              </w:rPr>
            </w:pPr>
            <w:r>
              <w:rPr>
                <w:rFonts w:cstheme="minorHAnsi"/>
                <w:i/>
                <w:iCs/>
                <w:sz w:val="18"/>
                <w:szCs w:val="18"/>
              </w:rPr>
              <w:t xml:space="preserve">Détailler précisément la nature des opérations de traitement effectuées dans le cadre de la sous-traitance. </w:t>
            </w:r>
          </w:p>
          <w:p w14:paraId="77BC28B8" w14:textId="77777777" w:rsidR="00053275" w:rsidRDefault="00053275" w:rsidP="00E067FE">
            <w:pPr>
              <w:jc w:val="both"/>
              <w:rPr>
                <w:rFonts w:cstheme="minorHAnsi"/>
                <w:i/>
                <w:iCs/>
                <w:sz w:val="18"/>
                <w:szCs w:val="18"/>
              </w:rPr>
            </w:pPr>
          </w:p>
          <w:p w14:paraId="12BB9BCF" w14:textId="3E64309D" w:rsidR="00103476" w:rsidRPr="00452029" w:rsidRDefault="00103476" w:rsidP="00E067FE">
            <w:pPr>
              <w:jc w:val="both"/>
              <w:rPr>
                <w:rFonts w:cstheme="minorHAnsi"/>
                <w:b/>
                <w:sz w:val="20"/>
                <w:szCs w:val="20"/>
                <w:u w:val="single"/>
              </w:rPr>
            </w:pPr>
            <w:r w:rsidRPr="00452029">
              <w:rPr>
                <w:rFonts w:cstheme="minorHAnsi"/>
                <w:i/>
                <w:iCs/>
                <w:sz w:val="18"/>
                <w:szCs w:val="18"/>
              </w:rPr>
              <w:t>Ex</w:t>
            </w:r>
            <w:r w:rsidR="00461C79" w:rsidRPr="0045202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collecte, </w:t>
            </w:r>
            <w:r w:rsidR="006556CE" w:rsidRPr="00452029">
              <w:rPr>
                <w:rFonts w:cstheme="minorHAnsi"/>
                <w:i/>
                <w:iCs/>
                <w:sz w:val="18"/>
                <w:szCs w:val="18"/>
              </w:rPr>
              <w:t>stockage,</w:t>
            </w:r>
            <w:r w:rsidRPr="00452029">
              <w:rPr>
                <w:rFonts w:cstheme="minorHAnsi"/>
                <w:i/>
                <w:iCs/>
                <w:sz w:val="18"/>
                <w:szCs w:val="18"/>
              </w:rPr>
              <w:t xml:space="preserve"> modification, extraction, consultation, communication, </w:t>
            </w:r>
            <w:r w:rsidR="00A710F9" w:rsidRPr="00452029">
              <w:rPr>
                <w:rFonts w:cstheme="minorHAnsi"/>
                <w:i/>
                <w:iCs/>
                <w:sz w:val="18"/>
                <w:szCs w:val="18"/>
              </w:rPr>
              <w:t>rapprochement</w:t>
            </w:r>
            <w:r w:rsidR="00A710F9">
              <w:rPr>
                <w:rFonts w:cstheme="minorHAnsi"/>
                <w:i/>
                <w:iCs/>
                <w:sz w:val="18"/>
                <w:szCs w:val="18"/>
              </w:rPr>
              <w:t xml:space="preserve"> avec d’au</w:t>
            </w:r>
            <w:r w:rsidRPr="00452029">
              <w:rPr>
                <w:rFonts w:cstheme="minorHAnsi"/>
                <w:i/>
                <w:iCs/>
                <w:sz w:val="18"/>
                <w:szCs w:val="18"/>
              </w:rPr>
              <w:t>t</w:t>
            </w:r>
            <w:r w:rsidR="00A710F9">
              <w:rPr>
                <w:rFonts w:cstheme="minorHAnsi"/>
                <w:i/>
                <w:iCs/>
                <w:sz w:val="18"/>
                <w:szCs w:val="18"/>
              </w:rPr>
              <w:t>res données</w:t>
            </w:r>
            <w:r w:rsidR="00A12431">
              <w:rPr>
                <w:rFonts w:cstheme="minorHAnsi"/>
                <w:i/>
                <w:iCs/>
                <w:sz w:val="18"/>
                <w:szCs w:val="18"/>
              </w:rPr>
              <w:t>,</w:t>
            </w:r>
            <w:r w:rsidRPr="00452029">
              <w:rPr>
                <w:rFonts w:cstheme="minorHAnsi"/>
                <w:i/>
                <w:iCs/>
                <w:sz w:val="18"/>
                <w:szCs w:val="18"/>
              </w:rPr>
              <w:t xml:space="preserve"> … </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commentRangeStart w:id="30"/>
            <w:r w:rsidRPr="00452029">
              <w:rPr>
                <w:rFonts w:cstheme="minorHAnsi"/>
                <w:sz w:val="20"/>
                <w:szCs w:val="20"/>
              </w:rPr>
              <w:t>Durée du traitement </w:t>
            </w:r>
            <w:commentRangeEnd w:id="30"/>
            <w:r w:rsidR="001C0C0E" w:rsidRPr="00452029">
              <w:rPr>
                <w:rStyle w:val="Marquedecommentaire"/>
                <w:sz w:val="20"/>
                <w:szCs w:val="20"/>
              </w:rPr>
              <w:commentReference w:id="30"/>
            </w:r>
          </w:p>
        </w:tc>
        <w:tc>
          <w:tcPr>
            <w:tcW w:w="7655" w:type="dxa"/>
          </w:tcPr>
          <w:p w14:paraId="267A1489" w14:textId="60AE9A93" w:rsidR="001C0C0E"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1E0223DF" w14:textId="4572EB60" w:rsidR="00103476" w:rsidRPr="00452029" w:rsidRDefault="00103476" w:rsidP="00452029">
            <w:pPr>
              <w:jc w:val="both"/>
              <w:rPr>
                <w:rFonts w:cstheme="minorHAnsi"/>
                <w:i/>
                <w:iCs/>
                <w:sz w:val="20"/>
                <w:szCs w:val="20"/>
              </w:rPr>
            </w:pPr>
            <w:r w:rsidRPr="00452029">
              <w:rPr>
                <w:rFonts w:cstheme="minorHAnsi"/>
                <w:i/>
                <w:iCs/>
                <w:sz w:val="18"/>
                <w:szCs w:val="18"/>
              </w:rPr>
              <w:t>Ex</w:t>
            </w:r>
            <w:r w:rsidR="00461C79" w:rsidRPr="0045202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Durée </w:t>
            </w:r>
            <w:r w:rsidRPr="0004057C">
              <w:rPr>
                <w:rFonts w:cstheme="minorHAnsi"/>
                <w:i/>
                <w:iCs/>
                <w:sz w:val="18"/>
                <w:szCs w:val="18"/>
              </w:rPr>
              <w:t>du</w:t>
            </w:r>
            <w:r w:rsidR="00E067FE" w:rsidRPr="0004057C">
              <w:rPr>
                <w:rFonts w:cstheme="minorHAnsi"/>
                <w:i/>
                <w:iCs/>
                <w:sz w:val="18"/>
                <w:szCs w:val="18"/>
              </w:rPr>
              <w:t xml:space="preserve"> </w:t>
            </w:r>
            <w:r w:rsidR="00E067FE" w:rsidRPr="00430898">
              <w:rPr>
                <w:rFonts w:cstheme="minorHAnsi"/>
                <w:i/>
                <w:iCs/>
                <w:sz w:val="18"/>
                <w:szCs w:val="18"/>
              </w:rPr>
              <w:t>Contrat</w:t>
            </w:r>
            <w:r w:rsidR="0004057C" w:rsidRPr="00430898">
              <w:rPr>
                <w:rFonts w:cstheme="minorHAnsi"/>
                <w:i/>
                <w:iCs/>
                <w:sz w:val="18"/>
                <w:szCs w:val="18"/>
              </w:rPr>
              <w:t xml:space="preserve">, </w:t>
            </w:r>
            <w:r w:rsidR="00E067FE" w:rsidRPr="0004057C">
              <w:rPr>
                <w:rFonts w:cstheme="minorHAnsi"/>
                <w:i/>
                <w:iCs/>
                <w:sz w:val="18"/>
                <w:szCs w:val="18"/>
              </w:rPr>
              <w:t>avec</w:t>
            </w:r>
            <w:r w:rsidR="00E067FE" w:rsidRPr="00452029">
              <w:rPr>
                <w:rFonts w:cstheme="minorHAnsi"/>
                <w:i/>
                <w:iCs/>
                <w:sz w:val="18"/>
                <w:szCs w:val="18"/>
              </w:rPr>
              <w:t xml:space="preserve"> ajout d’un délai supplémentaire éventuel (et sa justification)</w:t>
            </w:r>
            <w:r w:rsidR="0026784E">
              <w:rPr>
                <w:rFonts w:cstheme="minorHAnsi"/>
                <w:i/>
                <w:iCs/>
                <w:sz w:val="18"/>
                <w:szCs w:val="18"/>
              </w:rPr>
              <w:t> </w:t>
            </w:r>
            <w:r w:rsidR="00E067FE" w:rsidRPr="00452029">
              <w:rPr>
                <w:rFonts w:cstheme="minorHAnsi"/>
                <w:i/>
                <w:iCs/>
                <w:sz w:val="18"/>
                <w:szCs w:val="18"/>
              </w:rPr>
              <w:t xml:space="preserve">; ou durée du traitement si plus courte que </w:t>
            </w:r>
            <w:r w:rsidR="00D52C29">
              <w:rPr>
                <w:rFonts w:cstheme="minorHAnsi"/>
                <w:i/>
                <w:iCs/>
                <w:sz w:val="18"/>
                <w:szCs w:val="18"/>
              </w:rPr>
              <w:t xml:space="preserve">la </w:t>
            </w:r>
            <w:r w:rsidR="00E067FE" w:rsidRPr="00452029">
              <w:rPr>
                <w:rFonts w:cstheme="minorHAnsi"/>
                <w:i/>
                <w:iCs/>
                <w:sz w:val="18"/>
                <w:szCs w:val="18"/>
              </w:rPr>
              <w:t xml:space="preserve">durée du </w:t>
            </w:r>
            <w:r w:rsidR="00B95ED1">
              <w:rPr>
                <w:rFonts w:cstheme="minorHAnsi"/>
                <w:i/>
                <w:iCs/>
                <w:sz w:val="18"/>
                <w:szCs w:val="18"/>
              </w:rPr>
              <w:t>Contrat</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47CAAD07" w:rsidR="00943341" w:rsidRPr="00D92205" w:rsidRDefault="00A70C73" w:rsidP="00461C79">
            <w:pPr>
              <w:jc w:val="both"/>
              <w:rPr>
                <w:rFonts w:cstheme="minorHAnsi"/>
                <w:sz w:val="17"/>
                <w:szCs w:val="17"/>
              </w:rPr>
            </w:pPr>
            <w:r w:rsidRPr="00452029">
              <w:rPr>
                <w:rFonts w:cstheme="minorHAnsi"/>
                <w:sz w:val="18"/>
                <w:szCs w:val="18"/>
              </w:rPr>
              <w:t xml:space="preserve"> </w:t>
            </w:r>
            <w:r w:rsidRPr="00D92205">
              <w:rPr>
                <w:rFonts w:cstheme="minorHAnsi"/>
                <w:b/>
                <w:bCs/>
                <w:sz w:val="17"/>
                <w:szCs w:val="17"/>
                <w:highlight w:val="cyan"/>
              </w:rPr>
              <w:t>OUI  [   ]   /   NON [   ]</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528E2C08" w14:textId="139F7356" w:rsidR="00C42DCD" w:rsidRPr="00E34EF5" w:rsidRDefault="00C42DCD" w:rsidP="00943341">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3ADE8058" w14:textId="5738613D" w:rsidR="00943341" w:rsidRDefault="009271A4" w:rsidP="00943341">
            <w:pPr>
              <w:rPr>
                <w:rFonts w:cstheme="minorHAnsi"/>
                <w:b/>
                <w:sz w:val="18"/>
                <w:szCs w:val="18"/>
                <w:u w:val="single"/>
              </w:rPr>
            </w:pPr>
            <w:r w:rsidRPr="00D92205">
              <w:rPr>
                <w:rFonts w:cstheme="minorHAnsi"/>
                <w:b/>
                <w:sz w:val="18"/>
                <w:szCs w:val="18"/>
                <w:highlight w:val="yellow"/>
                <w:u w:val="single"/>
              </w:rPr>
              <w:t>[compléter]</w:t>
            </w:r>
          </w:p>
          <w:p w14:paraId="28F73D19" w14:textId="77777777" w:rsidR="00943341" w:rsidRPr="00D92205" w:rsidRDefault="00943341" w:rsidP="00943341">
            <w:pPr>
              <w:rPr>
                <w:rFonts w:cstheme="minorHAnsi"/>
                <w:b/>
                <w:sz w:val="18"/>
                <w:szCs w:val="18"/>
                <w:u w:val="single"/>
              </w:rPr>
            </w:pPr>
          </w:p>
          <w:p w14:paraId="08D0E2FF" w14:textId="71CB5F20"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2"/>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r w:rsidRPr="00D92205">
              <w:rPr>
                <w:rFonts w:cstheme="minorHAnsi"/>
                <w:b/>
                <w:bCs/>
                <w:sz w:val="18"/>
                <w:szCs w:val="18"/>
                <w:highlight w:val="cyan"/>
              </w:rPr>
              <w:t>OUI  [   ]   /   NON [   ]</w:t>
            </w:r>
            <w:r w:rsidRPr="00D92205">
              <w:rPr>
                <w:rFonts w:cstheme="minorHAnsi"/>
                <w:sz w:val="18"/>
                <w:szCs w:val="18"/>
              </w:rPr>
              <w:t xml:space="preserve"> </w:t>
            </w:r>
          </w:p>
          <w:p w14:paraId="778C9677" w14:textId="77777777" w:rsidR="00943341" w:rsidRPr="00D92205" w:rsidRDefault="00943341" w:rsidP="00E34EF5">
            <w:pPr>
              <w:jc w:val="both"/>
              <w:rPr>
                <w:sz w:val="18"/>
                <w:szCs w:val="18"/>
              </w:rPr>
            </w:pPr>
          </w:p>
          <w:p w14:paraId="2261606F" w14:textId="1C32D2DC"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Data Privacy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r w:rsidR="00F96CA9" w:rsidRPr="00D92205">
              <w:rPr>
                <w:b/>
                <w:bCs/>
                <w:sz w:val="18"/>
                <w:szCs w:val="18"/>
                <w:highlight w:val="cyan"/>
              </w:rPr>
              <w:t>OUI  [   ]   /   NON [   ]</w:t>
            </w:r>
          </w:p>
          <w:p w14:paraId="16A01355" w14:textId="77777777" w:rsidR="00943341" w:rsidRPr="00D92205" w:rsidRDefault="00943341" w:rsidP="00D92205">
            <w:pPr>
              <w:rPr>
                <w:sz w:val="18"/>
                <w:szCs w:val="18"/>
              </w:rPr>
            </w:pPr>
          </w:p>
          <w:p w14:paraId="1563852B" w14:textId="6267652D"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 xml:space="preserve">: </w:t>
            </w:r>
            <w:r w:rsidRPr="00D92205">
              <w:rPr>
                <w:rFonts w:cstheme="minorHAnsi"/>
                <w:b/>
                <w:bCs/>
                <w:sz w:val="18"/>
                <w:szCs w:val="18"/>
                <w:highlight w:val="cyan"/>
              </w:rPr>
              <w:t>OUI  [   ]   /   NON</w:t>
            </w:r>
            <w:r w:rsidR="00231EC3" w:rsidRPr="00D92205">
              <w:rPr>
                <w:rFonts w:cstheme="minorHAnsi"/>
                <w:b/>
                <w:bCs/>
                <w:sz w:val="18"/>
                <w:szCs w:val="18"/>
                <w:highlight w:val="cyan"/>
              </w:rPr>
              <w:t xml:space="preserve"> </w:t>
            </w:r>
            <w:r w:rsidRPr="00D92205">
              <w:rPr>
                <w:rFonts w:cstheme="minorHAnsi"/>
                <w:b/>
                <w:bCs/>
                <w:sz w:val="18"/>
                <w:szCs w:val="18"/>
                <w:highlight w:val="cyan"/>
              </w:rPr>
              <w:t>[   ]</w:t>
            </w:r>
            <w:r w:rsidRPr="00D92205">
              <w:rPr>
                <w:rFonts w:cstheme="minorHAnsi"/>
                <w:sz w:val="18"/>
                <w:szCs w:val="18"/>
              </w:rPr>
              <w:t xml:space="preserve">    </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hors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3"/>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2" w:name="_Toc160105161"/>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2"/>
    </w:p>
    <w:p w14:paraId="6F997708" w14:textId="77777777" w:rsidR="005C5F21" w:rsidRPr="00997304" w:rsidRDefault="005C5F21" w:rsidP="00D92205">
      <w:pPr>
        <w:spacing w:after="0" w:line="240" w:lineRule="exact"/>
        <w:rPr>
          <w:rFonts w:cstheme="minorHAnsi"/>
        </w:rPr>
      </w:pPr>
    </w:p>
    <w:p w14:paraId="7939D59B" w14:textId="1A356213"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655B6B67" w:rsidR="00C1192B" w:rsidRPr="00615734" w:rsidRDefault="00615734" w:rsidP="00D92205">
      <w:pPr>
        <w:spacing w:after="0" w:line="240" w:lineRule="exact"/>
        <w:jc w:val="both"/>
        <w:rPr>
          <w:rFonts w:cstheme="minorHAnsi"/>
          <w:sz w:val="20"/>
          <w:szCs w:val="20"/>
        </w:rPr>
      </w:pPr>
      <w:r w:rsidRPr="00615734">
        <w:rPr>
          <w:rFonts w:cstheme="minorHAnsi"/>
          <w:sz w:val="20"/>
          <w:szCs w:val="20"/>
        </w:rPr>
        <w:t>La d</w:t>
      </w:r>
      <w:r w:rsidR="006F5157" w:rsidRPr="00615734">
        <w:rPr>
          <w:rFonts w:cstheme="minorHAnsi"/>
          <w:sz w:val="20"/>
          <w:szCs w:val="20"/>
        </w:rPr>
        <w:t>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w:t>
      </w:r>
      <w:r w:rsidRPr="00615734">
        <w:rPr>
          <w:rFonts w:cstheme="minorHAnsi"/>
          <w:sz w:val="20"/>
          <w:szCs w:val="20"/>
        </w:rPr>
        <w:t>, figure dans l’annexe « Plan d’Assurance Sécurité »</w:t>
      </w:r>
      <w:r>
        <w:rPr>
          <w:rFonts w:cstheme="minorHAnsi"/>
          <w:sz w:val="20"/>
          <w:szCs w:val="20"/>
        </w:rPr>
        <w:t xml:space="preserve"> du contrat</w:t>
      </w:r>
      <w:r w:rsidR="006F5157" w:rsidRPr="00615734">
        <w:rPr>
          <w:rFonts w:cstheme="minorHAnsi"/>
          <w:sz w:val="20"/>
          <w:szCs w:val="20"/>
        </w:rPr>
        <w:t xml:space="preserve">. </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3"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3"/>
    </w:p>
    <w:p w14:paraId="32A4F004" w14:textId="05355B50" w:rsidR="006F5157" w:rsidRDefault="006F5157" w:rsidP="00D92205">
      <w:pPr>
        <w:spacing w:after="0" w:line="240" w:lineRule="exact"/>
        <w:jc w:val="both"/>
        <w:rPr>
          <w:rFonts w:cstheme="minorHAnsi"/>
        </w:rPr>
      </w:pP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4"/>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si applicable</w:t>
            </w:r>
            <w:r w:rsidRPr="00452029">
              <w:rPr>
                <w:rFonts w:cstheme="minorHAnsi"/>
                <w:sz w:val="16"/>
                <w:szCs w:val="16"/>
              </w:rPr>
              <w:t xml:space="preserve">  (ex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Ex : SuperCloud</w:t>
            </w:r>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Data Privacy</w:t>
            </w:r>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r w:rsidR="000B12DB">
              <w:rPr>
                <w:rFonts w:cstheme="minorHAnsi"/>
                <w:i/>
                <w:iCs/>
                <w:sz w:val="16"/>
                <w:szCs w:val="16"/>
              </w:rPr>
              <w:t>d’e-mails</w:t>
            </w:r>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4"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4"/>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5"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6"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6"/>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5"/>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6"/>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7"/>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7" w:name="_Hlk162540592"/>
      <w:r w:rsidR="007B35F8" w:rsidRPr="00855C3E">
        <w:rPr>
          <w:sz w:val="20"/>
          <w:szCs w:val="20"/>
        </w:rPr>
        <w:t xml:space="preserve">CCT Transferts – module 3 </w:t>
      </w:r>
      <w:bookmarkEnd w:id="37"/>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8"/>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Data Privacy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9"/>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a)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5"/>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26A9B04E" w14:textId="02D397D6" w:rsidR="00615734" w:rsidRPr="00615734" w:rsidRDefault="00615734" w:rsidP="00615734">
      <w:pPr>
        <w:spacing w:after="0" w:line="240" w:lineRule="exact"/>
        <w:ind w:left="426" w:hanging="426"/>
        <w:jc w:val="both"/>
        <w:rPr>
          <w:rFonts w:cstheme="minorHAnsi"/>
          <w:sz w:val="20"/>
          <w:szCs w:val="20"/>
          <w:lang w:eastAsia="fr-FR" w:bidi="fr-FR"/>
        </w:rPr>
      </w:pPr>
      <w:r>
        <w:rPr>
          <w:rFonts w:cstheme="minorHAnsi"/>
          <w:sz w:val="20"/>
          <w:szCs w:val="20"/>
          <w:lang w:eastAsia="fr-FR" w:bidi="fr-FR"/>
        </w:rPr>
        <w:t xml:space="preserve">8.1. </w:t>
      </w:r>
      <w:r w:rsidRPr="00615734">
        <w:rPr>
          <w:rFonts w:cstheme="minorHAnsi"/>
          <w:sz w:val="20"/>
          <w:szCs w:val="20"/>
          <w:lang w:eastAsia="fr-FR" w:bidi="fr-FR"/>
        </w:rPr>
        <w:t>En cas de violation de données à caractère personnel en rapport avec des données traitées par le responsable du traitement, le sous-traitant prête assistance au responsable du traitement en répondant aux sollicitations du responsable de traitement dans un délai maximal de vingt-quatre (24) heures.</w:t>
      </w:r>
    </w:p>
    <w:p w14:paraId="56DD6040" w14:textId="77777777" w:rsidR="00615734" w:rsidRPr="00615734" w:rsidRDefault="00615734" w:rsidP="00615734">
      <w:pPr>
        <w:spacing w:after="0" w:line="240" w:lineRule="exact"/>
        <w:ind w:left="426" w:hanging="426"/>
        <w:jc w:val="both"/>
        <w:rPr>
          <w:rFonts w:cstheme="minorHAnsi"/>
          <w:sz w:val="20"/>
          <w:szCs w:val="20"/>
          <w:lang w:eastAsia="fr-FR" w:bidi="fr-FR"/>
        </w:rPr>
      </w:pPr>
      <w:r w:rsidRPr="00615734">
        <w:rPr>
          <w:rFonts w:cstheme="minorHAnsi"/>
          <w:sz w:val="20"/>
          <w:szCs w:val="20"/>
          <w:lang w:eastAsia="fr-FR" w:bidi="fr-FR"/>
        </w:rPr>
        <w:t>8.2.  En cas de violation de données à caractère personnel en rapport avec des données traitées par le sous-traitant, celui-ci en informe le responsable du traitement dans un délai maximal de vingt-quatre (24) heures après en avoir pris connaissance.</w:t>
      </w:r>
    </w:p>
    <w:p w14:paraId="35C36693" w14:textId="463546FE" w:rsidR="00615734" w:rsidRDefault="00615734" w:rsidP="00615734">
      <w:pPr>
        <w:spacing w:after="0" w:line="240" w:lineRule="exact"/>
        <w:ind w:left="426" w:hanging="426"/>
        <w:jc w:val="both"/>
        <w:rPr>
          <w:rFonts w:cstheme="minorHAnsi"/>
          <w:sz w:val="20"/>
          <w:szCs w:val="20"/>
          <w:lang w:eastAsia="fr-FR" w:bidi="fr-FR"/>
        </w:rPr>
      </w:pPr>
      <w:r w:rsidRPr="00615734">
        <w:rPr>
          <w:rFonts w:cstheme="minorHAnsi"/>
          <w:sz w:val="20"/>
          <w:szCs w:val="20"/>
          <w:lang w:eastAsia="fr-FR" w:bidi="fr-FR"/>
        </w:rPr>
        <w:t>8.3</w:t>
      </w:r>
      <w:r>
        <w:rPr>
          <w:rFonts w:cstheme="minorHAnsi"/>
          <w:sz w:val="20"/>
          <w:szCs w:val="20"/>
          <w:lang w:eastAsia="fr-FR" w:bidi="fr-FR"/>
        </w:rPr>
        <w:t>.</w:t>
      </w:r>
      <w:r w:rsidRPr="00615734">
        <w:rPr>
          <w:rFonts w:cstheme="minorHAnsi"/>
          <w:sz w:val="20"/>
          <w:szCs w:val="20"/>
          <w:lang w:eastAsia="fr-FR" w:bidi="fr-FR"/>
        </w:rPr>
        <w:t xml:space="preserve"> Toute notification de violation de données à caractère personnel en application de l’alinéa précédent sera effectuée par courriel à la personne de contact du responsable de traitement, dont les coordonnées sont précisées à l’annexe I. Le sous-traitant s’assurera de la bonne réception de la notification par le responsable de traitement dans un délai maximal de vingt-quatre (24) heures suivant l’envoi de la notification.</w:t>
      </w:r>
    </w:p>
    <w:p w14:paraId="7F25716A" w14:textId="0A7496A1" w:rsidR="000E095F" w:rsidRPr="008E43EA" w:rsidRDefault="009422E0" w:rsidP="00615734">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33121F07"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sidR="00615734">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w:t>
      </w:r>
      <w:r w:rsidR="002B7504" w:rsidRPr="002B7504">
        <w:rPr>
          <w:rFonts w:cstheme="minorHAnsi"/>
          <w:sz w:val="20"/>
          <w:szCs w:val="20"/>
        </w:rPr>
        <w:lastRenderedPageBreak/>
        <w:t>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headerReference w:type="default" r:id="rId1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Rougeaux, Sylvain" w:date="2024-03-25T15:39:00Z" w:initials="RS">
    <w:p w14:paraId="40130AEB" w14:textId="3E854A0A" w:rsidR="00B1026F" w:rsidRDefault="00651728">
      <w:pPr>
        <w:pStyle w:val="Commentaire"/>
      </w:pPr>
      <w:r>
        <w:rPr>
          <w:rStyle w:val="Marquedecommentaire"/>
        </w:rPr>
        <w:annotationRef/>
      </w:r>
      <w:r w:rsidR="00B1026F">
        <w:rPr>
          <w:highlight w:val="yellow"/>
        </w:rPr>
        <w:t>A DESTINATION DU METIER:</w:t>
      </w:r>
    </w:p>
    <w:p w14:paraId="3596A1AE" w14:textId="77777777" w:rsidR="00B1026F" w:rsidRDefault="00B1026F">
      <w:pPr>
        <w:pStyle w:val="Commentaire"/>
      </w:pPr>
      <w:r>
        <w:t>Les informations à compléter dans cette annexe II seront opportunément reprises de la fiche DCP.</w:t>
      </w:r>
    </w:p>
    <w:p w14:paraId="6EC54E8C" w14:textId="77777777" w:rsidR="00B1026F" w:rsidRDefault="00B1026F">
      <w:pPr>
        <w:pStyle w:val="Commentaire"/>
      </w:pPr>
    </w:p>
    <w:p w14:paraId="1D5E27DA" w14:textId="77777777" w:rsidR="00B1026F" w:rsidRDefault="00B1026F" w:rsidP="00167476">
      <w:pPr>
        <w:pStyle w:val="Commentaire"/>
      </w:pPr>
      <w:r>
        <w:t>En cas de pluralité de sous-traitants cocontractants (de rang 1) dans le cadre du présent Contrat, les annexe II à IV devront être dupliquées et annexées à l’Annexe RGPD de sorte à avoir autant d’annexes II à IV que de sous-traitants, en précisant sur chacune d’elles à quel sous-traitant elles s’appliquent.</w:t>
      </w:r>
    </w:p>
  </w:comment>
  <w:comment w:id="30" w:author="Arnaud, Marguerite" w:date="2024-02-19T11:07:00Z" w:initials="AM">
    <w:p w14:paraId="4355CA1C" w14:textId="57E19C48" w:rsidR="004720C5" w:rsidRDefault="001C0C0E">
      <w:pPr>
        <w:pStyle w:val="Commentaire"/>
      </w:pPr>
      <w:r>
        <w:rPr>
          <w:rStyle w:val="Marquedecommentaire"/>
        </w:rPr>
        <w:annotationRef/>
      </w:r>
      <w:r w:rsidR="004720C5">
        <w:rPr>
          <w:highlight w:val="yellow"/>
        </w:rPr>
        <w:t xml:space="preserve">A DESTINATION DU METIER: </w:t>
      </w:r>
    </w:p>
    <w:p w14:paraId="4D377880" w14:textId="77777777" w:rsidR="004720C5" w:rsidRDefault="004720C5">
      <w:pPr>
        <w:pStyle w:val="Commentaire"/>
      </w:pPr>
      <w:r>
        <w:t xml:space="preserve">A définir en lien avec votre RDCP. </w:t>
      </w:r>
    </w:p>
    <w:p w14:paraId="6416A8A7" w14:textId="77777777" w:rsidR="004720C5" w:rsidRDefault="004720C5">
      <w:pPr>
        <w:pStyle w:val="Commentaire"/>
      </w:pPr>
      <w:r>
        <w:t xml:space="preserve">Il ne s’agit pas de la durée de conservation des données par la CDC telle que définie au registre, mais de la durée du traitement par le Sous-traitant / Prestataire pour les besoins de la prestation objet du contrat/marché – cf. fiche DCP. </w:t>
      </w:r>
    </w:p>
    <w:p w14:paraId="0CA5467C" w14:textId="77777777" w:rsidR="004720C5" w:rsidRDefault="004720C5" w:rsidP="00DF2924">
      <w:pPr>
        <w:pStyle w:val="Commentaire"/>
      </w:pPr>
      <w:r>
        <w:t xml:space="preserve">Cette durée peut être inférieure à la durée du contrat/marché, mais ne peut en principe lui être supérieure dans la mesure où la sous-traitance de données doit être encadrée contractuellement (sauf en cas d'obligation de conservation par le prestataire, ou s’il s’agit d’ajouter spécifiquement un délai de suppression ou de réversibilité des données à la fin du contrat / marché ; le cas échéant le préciser + valider avec le RSSI si besoin + dans tous les cas expliciter).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5E27DA" w15:done="0"/>
  <w15:commentEx w15:paraId="0CA5467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AC1928" w16cex:dateUtc="2024-03-25T14:39:00Z"/>
  <w16cex:commentExtensible w16cex:durableId="297DB728" w16cex:dateUtc="2024-02-19T1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5E27DA" w16cid:durableId="29AC1928"/>
  <w16cid:commentId w16cid:paraId="0CA5467C" w16cid:durableId="297DB7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52A43" w14:textId="77777777" w:rsidR="00DD1490" w:rsidRDefault="00DD1490" w:rsidP="006F5157">
      <w:pPr>
        <w:spacing w:after="0" w:line="240" w:lineRule="auto"/>
      </w:pPr>
      <w:r>
        <w:separator/>
      </w:r>
    </w:p>
  </w:endnote>
  <w:endnote w:type="continuationSeparator" w:id="0">
    <w:p w14:paraId="287974C1" w14:textId="77777777" w:rsidR="00DD1490" w:rsidRDefault="00DD1490"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2DD18" w14:textId="77777777" w:rsidR="00DD1490" w:rsidRDefault="00DD1490" w:rsidP="006F5157">
      <w:pPr>
        <w:spacing w:after="0" w:line="240" w:lineRule="auto"/>
      </w:pPr>
      <w:r>
        <w:separator/>
      </w:r>
    </w:p>
  </w:footnote>
  <w:footnote w:type="continuationSeparator" w:id="0">
    <w:p w14:paraId="5255A3A5" w14:textId="77777777" w:rsidR="00DD1490" w:rsidRDefault="00DD1490"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3">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31" w:name="_Hlk164875551"/>
      <w:r>
        <w:rPr>
          <w:rFonts w:cstheme="minorHAnsi"/>
          <w:color w:val="333333"/>
          <w:sz w:val="17"/>
          <w:szCs w:val="17"/>
          <w:shd w:val="clear" w:color="auto" w:fill="FFFFFF"/>
        </w:rPr>
        <w:t xml:space="preserve">accessibles à l’adresse suivante : </w:t>
      </w:r>
      <w:hyperlink r:id="rId3"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31"/>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4">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Binding Corporate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8">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9">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Privacy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B17E8" w14:textId="79B1C35B" w:rsidR="0020221B" w:rsidRPr="0020221B" w:rsidRDefault="0020221B" w:rsidP="0020221B">
    <w:pPr>
      <w:pStyle w:val="En-tte"/>
      <w:jc w:val="right"/>
      <w:rPr>
        <w:i/>
        <w:iCs/>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9"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7"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9"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4"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8"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0"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1"/>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79"/>
  </w:num>
  <w:num w:numId="9" w16cid:durableId="293412950">
    <w:abstractNumId w:val="16"/>
  </w:num>
  <w:num w:numId="10" w16cid:durableId="2112161915">
    <w:abstractNumId w:val="28"/>
  </w:num>
  <w:num w:numId="11" w16cid:durableId="1955479934">
    <w:abstractNumId w:val="87"/>
  </w:num>
  <w:num w:numId="12" w16cid:durableId="1275401641">
    <w:abstractNumId w:val="34"/>
  </w:num>
  <w:num w:numId="13" w16cid:durableId="208297451">
    <w:abstractNumId w:val="10"/>
  </w:num>
  <w:num w:numId="14" w16cid:durableId="622618649">
    <w:abstractNumId w:val="60"/>
  </w:num>
  <w:num w:numId="15" w16cid:durableId="1243182369">
    <w:abstractNumId w:val="53"/>
  </w:num>
  <w:num w:numId="16" w16cid:durableId="1398625178">
    <w:abstractNumId w:val="0"/>
  </w:num>
  <w:num w:numId="17" w16cid:durableId="1873959320">
    <w:abstractNumId w:val="64"/>
  </w:num>
  <w:num w:numId="18" w16cid:durableId="1440296132">
    <w:abstractNumId w:val="35"/>
  </w:num>
  <w:num w:numId="19" w16cid:durableId="1241988562">
    <w:abstractNumId w:val="57"/>
  </w:num>
  <w:num w:numId="20" w16cid:durableId="696082934">
    <w:abstractNumId w:val="48"/>
  </w:num>
  <w:num w:numId="21" w16cid:durableId="761606446">
    <w:abstractNumId w:val="62"/>
  </w:num>
  <w:num w:numId="22" w16cid:durableId="1528592923">
    <w:abstractNumId w:val="94"/>
  </w:num>
  <w:num w:numId="23" w16cid:durableId="209732561">
    <w:abstractNumId w:val="5"/>
  </w:num>
  <w:num w:numId="24" w16cid:durableId="813760979">
    <w:abstractNumId w:val="68"/>
  </w:num>
  <w:num w:numId="25" w16cid:durableId="2132823762">
    <w:abstractNumId w:val="67"/>
  </w:num>
  <w:num w:numId="26" w16cid:durableId="1680542450">
    <w:abstractNumId w:val="55"/>
  </w:num>
  <w:num w:numId="27" w16cid:durableId="1018967415">
    <w:abstractNumId w:val="72"/>
  </w:num>
  <w:num w:numId="28" w16cid:durableId="1782340786">
    <w:abstractNumId w:val="39"/>
  </w:num>
  <w:num w:numId="29" w16cid:durableId="1958632599">
    <w:abstractNumId w:val="51"/>
  </w:num>
  <w:num w:numId="30" w16cid:durableId="1449545290">
    <w:abstractNumId w:val="46"/>
  </w:num>
  <w:num w:numId="31" w16cid:durableId="2055689273">
    <w:abstractNumId w:val="78"/>
  </w:num>
  <w:num w:numId="32" w16cid:durableId="1920291230">
    <w:abstractNumId w:val="99"/>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3"/>
  </w:num>
  <w:num w:numId="38" w16cid:durableId="1035883137">
    <w:abstractNumId w:val="42"/>
  </w:num>
  <w:num w:numId="39" w16cid:durableId="2020502771">
    <w:abstractNumId w:val="73"/>
  </w:num>
  <w:num w:numId="40" w16cid:durableId="1851404422">
    <w:abstractNumId w:val="66"/>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1"/>
  </w:num>
  <w:num w:numId="46" w16cid:durableId="510224157">
    <w:abstractNumId w:val="13"/>
  </w:num>
  <w:num w:numId="47" w16cid:durableId="289670155">
    <w:abstractNumId w:val="82"/>
  </w:num>
  <w:num w:numId="48" w16cid:durableId="914583439">
    <w:abstractNumId w:val="65"/>
  </w:num>
  <w:num w:numId="49" w16cid:durableId="1395471696">
    <w:abstractNumId w:val="98"/>
  </w:num>
  <w:num w:numId="50" w16cid:durableId="611060444">
    <w:abstractNumId w:val="6"/>
  </w:num>
  <w:num w:numId="51" w16cid:durableId="1564019714">
    <w:abstractNumId w:val="25"/>
  </w:num>
  <w:num w:numId="52" w16cid:durableId="2018654521">
    <w:abstractNumId w:val="77"/>
  </w:num>
  <w:num w:numId="53" w16cid:durableId="1612587041">
    <w:abstractNumId w:val="80"/>
  </w:num>
  <w:num w:numId="54" w16cid:durableId="1847864772">
    <w:abstractNumId w:val="88"/>
  </w:num>
  <w:num w:numId="55" w16cid:durableId="1021199975">
    <w:abstractNumId w:val="9"/>
  </w:num>
  <w:num w:numId="56" w16cid:durableId="2094085599">
    <w:abstractNumId w:val="50"/>
  </w:num>
  <w:num w:numId="57" w16cid:durableId="1879395154">
    <w:abstractNumId w:val="75"/>
  </w:num>
  <w:num w:numId="58" w16cid:durableId="1085031833">
    <w:abstractNumId w:val="8"/>
  </w:num>
  <w:num w:numId="59" w16cid:durableId="1319310168">
    <w:abstractNumId w:val="47"/>
  </w:num>
  <w:num w:numId="60" w16cid:durableId="372968689">
    <w:abstractNumId w:val="43"/>
  </w:num>
  <w:num w:numId="61" w16cid:durableId="1598052128">
    <w:abstractNumId w:val="89"/>
  </w:num>
  <w:num w:numId="62" w16cid:durableId="311564762">
    <w:abstractNumId w:val="44"/>
  </w:num>
  <w:num w:numId="63" w16cid:durableId="1564219956">
    <w:abstractNumId w:val="95"/>
  </w:num>
  <w:num w:numId="64" w16cid:durableId="1240871798">
    <w:abstractNumId w:val="84"/>
  </w:num>
  <w:num w:numId="65" w16cid:durableId="1038507853">
    <w:abstractNumId w:val="45"/>
  </w:num>
  <w:num w:numId="66" w16cid:durableId="711924739">
    <w:abstractNumId w:val="52"/>
  </w:num>
  <w:num w:numId="67" w16cid:durableId="1072390450">
    <w:abstractNumId w:val="74"/>
  </w:num>
  <w:num w:numId="68" w16cid:durableId="650718916">
    <w:abstractNumId w:val="69"/>
  </w:num>
  <w:num w:numId="69" w16cid:durableId="259027228">
    <w:abstractNumId w:val="33"/>
  </w:num>
  <w:num w:numId="70" w16cid:durableId="521746409">
    <w:abstractNumId w:val="86"/>
  </w:num>
  <w:num w:numId="71" w16cid:durableId="1642610408">
    <w:abstractNumId w:val="85"/>
  </w:num>
  <w:num w:numId="72" w16cid:durableId="1645815816">
    <w:abstractNumId w:val="26"/>
  </w:num>
  <w:num w:numId="73" w16cid:durableId="1359548465">
    <w:abstractNumId w:val="21"/>
  </w:num>
  <w:num w:numId="74" w16cid:durableId="1322344471">
    <w:abstractNumId w:val="27"/>
  </w:num>
  <w:num w:numId="75" w16cid:durableId="1921064339">
    <w:abstractNumId w:val="76"/>
  </w:num>
  <w:num w:numId="76" w16cid:durableId="161900139">
    <w:abstractNumId w:val="63"/>
  </w:num>
  <w:num w:numId="77" w16cid:durableId="214703921">
    <w:abstractNumId w:val="23"/>
  </w:num>
  <w:num w:numId="78" w16cid:durableId="317853913">
    <w:abstractNumId w:val="15"/>
  </w:num>
  <w:num w:numId="79" w16cid:durableId="418141768">
    <w:abstractNumId w:val="7"/>
  </w:num>
  <w:num w:numId="80" w16cid:durableId="2117942878">
    <w:abstractNumId w:val="93"/>
  </w:num>
  <w:num w:numId="81" w16cid:durableId="227040620">
    <w:abstractNumId w:val="58"/>
  </w:num>
  <w:num w:numId="82" w16cid:durableId="238558043">
    <w:abstractNumId w:val="20"/>
  </w:num>
  <w:num w:numId="83" w16cid:durableId="1555001007">
    <w:abstractNumId w:val="12"/>
  </w:num>
  <w:num w:numId="84" w16cid:durableId="1698895351">
    <w:abstractNumId w:val="90"/>
  </w:num>
  <w:num w:numId="85" w16cid:durableId="204635537">
    <w:abstractNumId w:val="1"/>
  </w:num>
  <w:num w:numId="86" w16cid:durableId="185339333">
    <w:abstractNumId w:val="81"/>
  </w:num>
  <w:num w:numId="87" w16cid:durableId="2124225558">
    <w:abstractNumId w:val="30"/>
  </w:num>
  <w:num w:numId="88" w16cid:durableId="779027641">
    <w:abstractNumId w:val="54"/>
  </w:num>
  <w:num w:numId="89" w16cid:durableId="416752988">
    <w:abstractNumId w:val="100"/>
  </w:num>
  <w:num w:numId="90" w16cid:durableId="1469518990">
    <w:abstractNumId w:val="97"/>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6"/>
  </w:num>
  <w:num w:numId="96" w16cid:durableId="750129303">
    <w:abstractNumId w:val="31"/>
  </w:num>
  <w:num w:numId="97" w16cid:durableId="1751148697">
    <w:abstractNumId w:val="92"/>
  </w:num>
  <w:num w:numId="98" w16cid:durableId="2025667598">
    <w:abstractNumId w:val="22"/>
  </w:num>
  <w:num w:numId="99" w16cid:durableId="740713684">
    <w:abstractNumId w:val="91"/>
  </w:num>
  <w:num w:numId="100" w16cid:durableId="895244199">
    <w:abstractNumId w:val="70"/>
  </w:num>
  <w:num w:numId="101" w16cid:durableId="1196384538">
    <w:abstractNumId w:val="59"/>
  </w:num>
  <w:numIdMacAtCleanup w:val="1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ugeaux, Sylvain">
    <w15:presenceInfo w15:providerId="AD" w15:userId="S::Sylvain.Rougeaux@caissedesdepots.fr::4fc8a271-5b18-4b30-ab86-c2315a826dd5"/>
  </w15:person>
  <w15:person w15:author="Arnaud, Marguerite">
    <w15:presenceInfo w15:providerId="AD" w15:userId="S::Marguerite.Arnaud@caissedesdepots.fr::5616384b-3a38-4f9b-bc7e-3ca0052a8f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36ABC"/>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0C9E"/>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221B"/>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37FF5"/>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15734"/>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4099"/>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104C4"/>
    <w:rsid w:val="00B23F71"/>
    <w:rsid w:val="00B27969"/>
    <w:rsid w:val="00B3041D"/>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771D6"/>
    <w:rsid w:val="00D82583"/>
    <w:rsid w:val="00D83A62"/>
    <w:rsid w:val="00D83CA6"/>
    <w:rsid w:val="00D83D8A"/>
    <w:rsid w:val="00D855E9"/>
    <w:rsid w:val="00D90C94"/>
    <w:rsid w:val="00D92205"/>
    <w:rsid w:val="00D94F8D"/>
    <w:rsid w:val="00D97377"/>
    <w:rsid w:val="00DA0999"/>
    <w:rsid w:val="00DA2481"/>
    <w:rsid w:val="00DA38B3"/>
    <w:rsid w:val="00DB19DA"/>
    <w:rsid w:val="00DB32FC"/>
    <w:rsid w:val="00DB5702"/>
    <w:rsid w:val="00DB70A5"/>
    <w:rsid w:val="00DD1490"/>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94063"/>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5BAA"/>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lison.Benabdelouhab@caissedesdepots.fr" TargetMode="Externa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dpo@caissedesdepots.fr"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17</Pages>
  <Words>8004</Words>
  <Characters>44022</Characters>
  <Application>Microsoft Office Word</Application>
  <DocSecurity>0</DocSecurity>
  <Lines>366</Lines>
  <Paragraphs>103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Cachet, Amandine</cp:lastModifiedBy>
  <cp:revision>7</cp:revision>
  <cp:lastPrinted>2024-04-25T17:33:00Z</cp:lastPrinted>
  <dcterms:created xsi:type="dcterms:W3CDTF">2024-12-20T10:39:00Z</dcterms:created>
  <dcterms:modified xsi:type="dcterms:W3CDTF">2026-02-04T11:26:00Z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